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06B85" w14:textId="53CE89EA" w:rsidR="00D956B9" w:rsidRPr="00C74F68" w:rsidRDefault="00D956B9" w:rsidP="00C74F68">
      <w:pPr>
        <w:spacing w:after="120"/>
        <w:ind w:left="3969" w:firstLine="0"/>
        <w:rPr>
          <w:rFonts w:eastAsia="Times New Roman"/>
          <w:b/>
          <w:lang w:eastAsia="pt-BR"/>
        </w:rPr>
      </w:pPr>
      <w:r w:rsidRPr="00C74F68">
        <w:rPr>
          <w:rFonts w:eastAsia="Times New Roman"/>
          <w:b/>
          <w:lang w:eastAsia="pt-BR"/>
        </w:rPr>
        <w:t>NOTAS EXPLICATIVAS DAS DEMONSTRAÇÕES DAS VARIAÇÕES PATRIMONIAIS.</w:t>
      </w:r>
    </w:p>
    <w:p w14:paraId="7C291A60" w14:textId="3D95229B" w:rsidR="00D956B9" w:rsidRPr="00C74F68" w:rsidRDefault="00D956B9" w:rsidP="00C74F68">
      <w:pPr>
        <w:spacing w:after="120"/>
        <w:ind w:left="3969" w:firstLine="0"/>
        <w:rPr>
          <w:rFonts w:eastAsia="Times New Roman"/>
          <w:b/>
          <w:lang w:eastAsia="pt-BR"/>
        </w:rPr>
      </w:pPr>
      <w:r w:rsidRPr="00C74F68">
        <w:rPr>
          <w:rFonts w:eastAsia="Times New Roman"/>
          <w:b/>
          <w:lang w:eastAsia="pt-BR"/>
        </w:rPr>
        <w:t>Exercício de 202</w:t>
      </w:r>
      <w:r w:rsidR="00C74F68">
        <w:rPr>
          <w:rFonts w:eastAsia="Times New Roman"/>
          <w:b/>
          <w:lang w:eastAsia="pt-BR"/>
        </w:rPr>
        <w:t>5.</w:t>
      </w:r>
    </w:p>
    <w:p w14:paraId="4FE5DF31" w14:textId="318C06DE" w:rsidR="00D956B9" w:rsidRPr="00C74F68" w:rsidRDefault="00D956B9" w:rsidP="00C74F68">
      <w:pPr>
        <w:spacing w:after="120"/>
        <w:ind w:left="3969" w:firstLine="0"/>
        <w:rPr>
          <w:rFonts w:eastAsia="Times New Roman"/>
          <w:b/>
          <w:lang w:eastAsia="pt-BR"/>
        </w:rPr>
      </w:pPr>
      <w:r w:rsidRPr="00C74F68">
        <w:rPr>
          <w:rFonts w:eastAsia="Times New Roman"/>
          <w:b/>
          <w:lang w:eastAsia="pt-BR"/>
        </w:rPr>
        <w:t xml:space="preserve">UNIDADE GESTORA: </w:t>
      </w:r>
      <w:r w:rsidR="00C257C7" w:rsidRPr="00C74F68">
        <w:rPr>
          <w:rFonts w:eastAsia="Times New Roman"/>
          <w:b/>
          <w:lang w:eastAsia="pt-BR"/>
        </w:rPr>
        <w:t>CONSOLIDADO</w:t>
      </w:r>
    </w:p>
    <w:p w14:paraId="1F804497" w14:textId="77777777" w:rsidR="00197890" w:rsidRDefault="00197890" w:rsidP="00197890">
      <w:pPr>
        <w:spacing w:after="120"/>
        <w:ind w:firstLine="0"/>
        <w:rPr>
          <w:rFonts w:eastAsia="Times New Roman" w:cs="Arial"/>
          <w:b/>
          <w:bCs/>
          <w:color w:val="FF0000"/>
          <w:sz w:val="22"/>
          <w:szCs w:val="22"/>
          <w:lang w:eastAsia="pt-BR"/>
        </w:rPr>
      </w:pPr>
      <w:r w:rsidRPr="00BF7110">
        <w:rPr>
          <w:rFonts w:eastAsia="Times New Roman" w:cs="Arial"/>
          <w:b/>
          <w:bCs/>
          <w:color w:val="FF0000"/>
          <w:sz w:val="22"/>
          <w:szCs w:val="22"/>
          <w:lang w:eastAsia="pt-BR"/>
        </w:rPr>
        <w:t xml:space="preserve"> </w:t>
      </w:r>
      <w:r w:rsidRPr="00BF7110">
        <w:rPr>
          <w:rFonts w:eastAsia="Times New Roman" w:cs="Arial"/>
          <w:b/>
          <w:bCs/>
          <w:color w:val="FF0000"/>
          <w:sz w:val="22"/>
          <w:szCs w:val="22"/>
          <w:lang w:eastAsia="pt-BR"/>
        </w:rPr>
        <w:tab/>
      </w:r>
    </w:p>
    <w:p w14:paraId="5387F16A" w14:textId="77777777" w:rsidR="00673D08" w:rsidRDefault="00673D08" w:rsidP="00197890">
      <w:pPr>
        <w:spacing w:after="120"/>
        <w:ind w:firstLine="0"/>
        <w:rPr>
          <w:rFonts w:eastAsia="Times New Roman" w:cs="Arial"/>
          <w:b/>
          <w:bCs/>
          <w:color w:val="FF0000"/>
          <w:sz w:val="22"/>
          <w:szCs w:val="22"/>
          <w:lang w:eastAsia="pt-BR"/>
        </w:rPr>
      </w:pPr>
    </w:p>
    <w:p w14:paraId="7DB6637D" w14:textId="77777777" w:rsidR="00673D08" w:rsidRPr="00BF7110" w:rsidRDefault="00673D08" w:rsidP="00197890">
      <w:pPr>
        <w:spacing w:after="120"/>
        <w:ind w:firstLine="0"/>
        <w:rPr>
          <w:rFonts w:eastAsia="Times New Roman" w:cs="Arial"/>
          <w:b/>
          <w:bCs/>
          <w:color w:val="FF0000"/>
          <w:sz w:val="22"/>
          <w:szCs w:val="22"/>
          <w:lang w:eastAsia="pt-BR"/>
        </w:rPr>
      </w:pPr>
    </w:p>
    <w:p w14:paraId="16D419F1" w14:textId="1E9F95B4" w:rsidR="00197890" w:rsidRPr="009545C0" w:rsidRDefault="00197890" w:rsidP="00197890">
      <w:pPr>
        <w:spacing w:after="0"/>
        <w:rPr>
          <w:rFonts w:eastAsia="Times New Roman" w:cs="Arial"/>
          <w:sz w:val="22"/>
          <w:szCs w:val="22"/>
          <w:lang w:eastAsia="pt-BR"/>
        </w:rPr>
      </w:pPr>
      <w:r w:rsidRPr="009545C0">
        <w:rPr>
          <w:rFonts w:eastAsia="Times New Roman" w:cs="Arial"/>
          <w:b/>
          <w:bCs/>
          <w:sz w:val="22"/>
          <w:szCs w:val="22"/>
          <w:lang w:eastAsia="pt-BR"/>
        </w:rPr>
        <w:t>Nota 1 – Valorização e Ganhos com Ativos e Desincorporação de Passivos</w:t>
      </w:r>
      <w:r w:rsidRPr="009545C0">
        <w:rPr>
          <w:rFonts w:eastAsia="Times New Roman" w:cs="Arial"/>
          <w:sz w:val="22"/>
          <w:szCs w:val="22"/>
          <w:lang w:eastAsia="pt-BR"/>
        </w:rPr>
        <w:t xml:space="preserve">:  em relação a esse item cabe destacar que, em razão do processo de convergência aos padrões de contabilidade estabelecido pelas NBCASP, e de acordo com o MCASP, foram efetuados vários ajustes para a adoção do valor de mercado para bens do ativo. </w:t>
      </w:r>
    </w:p>
    <w:p w14:paraId="61F3F828" w14:textId="77777777" w:rsidR="00197890" w:rsidRPr="009545C0" w:rsidRDefault="00197890" w:rsidP="00197890">
      <w:pPr>
        <w:spacing w:after="0"/>
        <w:rPr>
          <w:rFonts w:eastAsia="Times New Roman" w:cs="Arial"/>
          <w:color w:val="FF0000"/>
          <w:sz w:val="22"/>
          <w:szCs w:val="22"/>
          <w:lang w:eastAsia="pt-BR"/>
        </w:rPr>
      </w:pPr>
    </w:p>
    <w:p w14:paraId="466A1612" w14:textId="77777777" w:rsidR="00197890" w:rsidRPr="00673D08" w:rsidRDefault="00197890" w:rsidP="00197890">
      <w:pPr>
        <w:spacing w:after="0"/>
        <w:rPr>
          <w:rFonts w:eastAsia="Times New Roman" w:cs="Arial"/>
          <w:b/>
          <w:bCs/>
          <w:sz w:val="22"/>
          <w:szCs w:val="22"/>
          <w:lang w:eastAsia="pt-BR"/>
        </w:rPr>
      </w:pPr>
    </w:p>
    <w:p w14:paraId="6EDD8C8D" w14:textId="78ECFE4A" w:rsidR="00197890" w:rsidRPr="00673D08" w:rsidRDefault="00197890" w:rsidP="00197890">
      <w:pPr>
        <w:spacing w:after="0"/>
        <w:rPr>
          <w:rFonts w:eastAsia="Times New Roman" w:cs="Arial"/>
          <w:sz w:val="22"/>
          <w:szCs w:val="22"/>
          <w:lang w:eastAsia="pt-BR"/>
        </w:rPr>
      </w:pPr>
      <w:r w:rsidRPr="00673D08">
        <w:rPr>
          <w:rFonts w:eastAsia="Times New Roman" w:cs="Arial"/>
          <w:b/>
          <w:bCs/>
          <w:sz w:val="22"/>
          <w:szCs w:val="22"/>
          <w:lang w:eastAsia="pt-BR"/>
        </w:rPr>
        <w:t>Nota 2 – Outras Variações Patrimoniais Aumentativas</w:t>
      </w:r>
      <w:r w:rsidRPr="00673D08">
        <w:rPr>
          <w:rFonts w:eastAsia="Times New Roman" w:cs="Arial"/>
          <w:sz w:val="22"/>
          <w:szCs w:val="22"/>
          <w:lang w:eastAsia="pt-BR"/>
        </w:rPr>
        <w:t xml:space="preserve">: compreende o somatório das demais variações patrimoniais aumentativas não incluídas nos grupos anteriores, tais como: resultado positivo da equivalência patrimonial e dividendos. </w:t>
      </w:r>
    </w:p>
    <w:p w14:paraId="4465F02A" w14:textId="77777777" w:rsidR="00197890" w:rsidRPr="00673D08" w:rsidRDefault="00197890" w:rsidP="00197890">
      <w:pPr>
        <w:spacing w:after="0"/>
        <w:rPr>
          <w:rFonts w:eastAsia="Times New Roman" w:cs="Arial"/>
          <w:b/>
          <w:bCs/>
          <w:sz w:val="22"/>
          <w:szCs w:val="22"/>
          <w:lang w:eastAsia="pt-BR"/>
        </w:rPr>
      </w:pPr>
    </w:p>
    <w:p w14:paraId="0D087B73" w14:textId="77777777" w:rsidR="00197890" w:rsidRPr="00673D08" w:rsidRDefault="00197890" w:rsidP="00197890">
      <w:pPr>
        <w:spacing w:after="0"/>
        <w:rPr>
          <w:rFonts w:eastAsia="Times New Roman" w:cs="Arial"/>
          <w:b/>
          <w:bCs/>
          <w:sz w:val="22"/>
          <w:szCs w:val="22"/>
          <w:lang w:eastAsia="pt-BR"/>
        </w:rPr>
      </w:pPr>
    </w:p>
    <w:p w14:paraId="19749D95" w14:textId="7C6ED422" w:rsidR="00197890" w:rsidRPr="00673D08" w:rsidRDefault="00197890" w:rsidP="00197890">
      <w:pPr>
        <w:spacing w:after="0"/>
        <w:rPr>
          <w:rFonts w:eastAsia="Times New Roman" w:cs="Arial"/>
          <w:sz w:val="22"/>
          <w:szCs w:val="22"/>
          <w:lang w:eastAsia="pt-BR"/>
        </w:rPr>
      </w:pPr>
      <w:r w:rsidRPr="00673D08">
        <w:rPr>
          <w:rFonts w:eastAsia="Times New Roman" w:cs="Arial"/>
          <w:b/>
          <w:bCs/>
          <w:sz w:val="22"/>
          <w:szCs w:val="22"/>
          <w:lang w:eastAsia="pt-BR"/>
        </w:rPr>
        <w:t xml:space="preserve">Nota 3 – Desvalorização e Perdas de Ativos e Incorporação de Passivos: </w:t>
      </w:r>
      <w:r w:rsidRPr="00673D08">
        <w:rPr>
          <w:rFonts w:eastAsia="Times New Roman" w:cs="Arial"/>
          <w:sz w:val="22"/>
          <w:szCs w:val="22"/>
          <w:lang w:eastAsia="pt-BR"/>
        </w:rPr>
        <w:t xml:space="preserve">em função da continuidade do cumprimento da implantação dos procedimentos contábeis relativos às Normas Brasileiras de Contabilidade Aplicadas ao Setor Público, no âmbito do Governo Municipal, nesse item, os valores </w:t>
      </w:r>
      <w:r w:rsidR="00673D08" w:rsidRPr="00673D08">
        <w:rPr>
          <w:rFonts w:eastAsia="Times New Roman" w:cs="Arial"/>
          <w:sz w:val="22"/>
          <w:szCs w:val="22"/>
          <w:lang w:eastAsia="pt-BR"/>
        </w:rPr>
        <w:t>são provenientes de Ajuste de Perdas de Créditos, Investimentos e Aplicações Temporárias.</w:t>
      </w:r>
    </w:p>
    <w:p w14:paraId="29CE1673" w14:textId="77777777" w:rsidR="00197890" w:rsidRPr="00673D08" w:rsidRDefault="00197890" w:rsidP="00197890">
      <w:pPr>
        <w:spacing w:after="0"/>
        <w:rPr>
          <w:rFonts w:eastAsia="Times New Roman" w:cs="Arial"/>
          <w:sz w:val="22"/>
          <w:szCs w:val="22"/>
          <w:lang w:eastAsia="pt-BR"/>
        </w:rPr>
      </w:pPr>
    </w:p>
    <w:p w14:paraId="11BFCE4F" w14:textId="77777777" w:rsidR="00197890" w:rsidRPr="00673D08" w:rsidRDefault="00197890" w:rsidP="00197890">
      <w:pPr>
        <w:spacing w:after="0"/>
        <w:rPr>
          <w:rFonts w:eastAsia="Times New Roman" w:cs="Arial"/>
          <w:b/>
          <w:bCs/>
          <w:sz w:val="22"/>
          <w:szCs w:val="22"/>
          <w:lang w:eastAsia="pt-BR"/>
        </w:rPr>
      </w:pPr>
    </w:p>
    <w:p w14:paraId="065A5504" w14:textId="77777777" w:rsidR="00197890" w:rsidRPr="00673D08" w:rsidRDefault="00197890" w:rsidP="00197890">
      <w:pPr>
        <w:rPr>
          <w:rFonts w:eastAsia="Times New Roman" w:cs="Arial"/>
          <w:b/>
          <w:bCs/>
          <w:sz w:val="22"/>
          <w:szCs w:val="22"/>
          <w:lang w:eastAsia="pt-BR"/>
        </w:rPr>
      </w:pPr>
    </w:p>
    <w:p w14:paraId="527C234A" w14:textId="77777777" w:rsidR="00197890" w:rsidRPr="009545C0" w:rsidRDefault="00197890" w:rsidP="00197890">
      <w:pPr>
        <w:rPr>
          <w:rFonts w:eastAsia="Times New Roman" w:cs="Arial"/>
          <w:b/>
          <w:bCs/>
          <w:color w:val="FF0000"/>
          <w:sz w:val="22"/>
          <w:szCs w:val="22"/>
          <w:lang w:eastAsia="pt-BR"/>
        </w:rPr>
      </w:pPr>
    </w:p>
    <w:p w14:paraId="7F62A77E" w14:textId="77777777" w:rsidR="00197890" w:rsidRPr="009545C0" w:rsidRDefault="00197890" w:rsidP="00197890">
      <w:pPr>
        <w:rPr>
          <w:rFonts w:eastAsia="Times New Roman" w:cs="Arial"/>
          <w:b/>
          <w:bCs/>
          <w:color w:val="FF0000"/>
          <w:sz w:val="22"/>
          <w:szCs w:val="22"/>
          <w:lang w:eastAsia="pt-BR"/>
        </w:rPr>
      </w:pPr>
    </w:p>
    <w:p w14:paraId="06C09645" w14:textId="77777777" w:rsidR="00197890" w:rsidRPr="009545C0" w:rsidRDefault="00197890" w:rsidP="00197890">
      <w:pPr>
        <w:rPr>
          <w:rFonts w:eastAsia="Times New Roman" w:cs="Arial"/>
          <w:b/>
          <w:bCs/>
          <w:color w:val="FF0000"/>
          <w:sz w:val="22"/>
          <w:szCs w:val="22"/>
          <w:lang w:eastAsia="pt-BR"/>
        </w:rPr>
      </w:pPr>
    </w:p>
    <w:p w14:paraId="2780C407" w14:textId="77777777" w:rsidR="00513469" w:rsidRPr="009545C0" w:rsidRDefault="00197890" w:rsidP="00197890">
      <w:pPr>
        <w:ind w:firstLine="0"/>
        <w:rPr>
          <w:rFonts w:eastAsia="Times New Roman" w:cs="Arial"/>
          <w:b/>
          <w:bCs/>
          <w:color w:val="FF0000"/>
          <w:sz w:val="22"/>
          <w:szCs w:val="22"/>
          <w:lang w:eastAsia="pt-BR"/>
        </w:rPr>
      </w:pPr>
      <w:r w:rsidRPr="009545C0">
        <w:rPr>
          <w:rFonts w:eastAsia="Times New Roman" w:cs="Arial"/>
          <w:b/>
          <w:bCs/>
          <w:color w:val="FF0000"/>
          <w:sz w:val="22"/>
          <w:szCs w:val="22"/>
          <w:lang w:eastAsia="pt-BR"/>
        </w:rPr>
        <w:t xml:space="preserve">                                                           </w:t>
      </w:r>
    </w:p>
    <w:p w14:paraId="25519488" w14:textId="1C9F50A1" w:rsidR="00197890" w:rsidRPr="009545C0" w:rsidRDefault="009545C0" w:rsidP="00197890">
      <w:pPr>
        <w:ind w:firstLine="0"/>
        <w:rPr>
          <w:rFonts w:eastAsia="Times New Roman" w:cs="Arial"/>
          <w:b/>
          <w:bCs/>
          <w:color w:val="FF0000"/>
          <w:sz w:val="22"/>
          <w:szCs w:val="22"/>
          <w:lang w:eastAsia="pt-BR"/>
        </w:rPr>
      </w:pPr>
      <w:r>
        <w:rPr>
          <w:rFonts w:eastAsia="Times New Roman" w:cs="Arial"/>
          <w:b/>
          <w:bCs/>
          <w:noProof/>
          <w:color w:val="FF0000"/>
          <w:sz w:val="22"/>
          <w:szCs w:val="22"/>
          <w:lang w:eastAsia="pt-BR"/>
        </w:rPr>
        <w:drawing>
          <wp:inline distT="0" distB="0" distL="0" distR="0" wp14:anchorId="26E4F87F" wp14:editId="6B017EFB">
            <wp:extent cx="5760720" cy="387985"/>
            <wp:effectExtent l="0" t="0" r="0" b="0"/>
            <wp:docPr id="2146363418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6363418" name="Imagem 2146363418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87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2AE6EB" w14:textId="77777777" w:rsidR="00197890" w:rsidRPr="009545C0" w:rsidRDefault="00197890">
      <w:pPr>
        <w:rPr>
          <w:color w:val="FF0000"/>
        </w:rPr>
      </w:pPr>
    </w:p>
    <w:sectPr w:rsidR="00197890" w:rsidRPr="009545C0" w:rsidSect="00D80B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836" w:right="1134" w:bottom="851" w:left="1701" w:header="14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E02C1" w14:textId="77777777" w:rsidR="00F4186D" w:rsidRDefault="00F4186D">
      <w:pPr>
        <w:spacing w:after="0"/>
      </w:pPr>
      <w:r>
        <w:separator/>
      </w:r>
    </w:p>
  </w:endnote>
  <w:endnote w:type="continuationSeparator" w:id="0">
    <w:p w14:paraId="58E44616" w14:textId="77777777" w:rsidR="00F4186D" w:rsidRDefault="00F418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2A5F1" w14:textId="77777777" w:rsidR="00423D7C" w:rsidRDefault="00423D7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0391E" w14:textId="77777777" w:rsidR="00423D7C" w:rsidRDefault="00423D7C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3B8EC" w14:textId="77777777" w:rsidR="00423D7C" w:rsidRDefault="00423D7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88D90" w14:textId="77777777" w:rsidR="00F4186D" w:rsidRDefault="00F4186D">
      <w:pPr>
        <w:spacing w:after="0"/>
      </w:pPr>
      <w:r>
        <w:separator/>
      </w:r>
    </w:p>
  </w:footnote>
  <w:footnote w:type="continuationSeparator" w:id="0">
    <w:p w14:paraId="657F792A" w14:textId="77777777" w:rsidR="00F4186D" w:rsidRDefault="00F418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260EB" w14:textId="77777777" w:rsidR="00423D7C" w:rsidRDefault="00423D7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BA34F" w14:textId="77777777" w:rsidR="00423D7C" w:rsidRDefault="00423D7C" w:rsidP="00423D7C">
    <w:pPr>
      <w:pStyle w:val="Cabealho"/>
      <w:ind w:firstLine="0"/>
    </w:pPr>
  </w:p>
  <w:p w14:paraId="238142B9" w14:textId="0E30F2B4" w:rsidR="00D15F55" w:rsidRPr="00423D7C" w:rsidRDefault="00423D7C" w:rsidP="00423D7C">
    <w:pPr>
      <w:pStyle w:val="Cabealho"/>
      <w:ind w:firstLine="0"/>
    </w:pPr>
    <w:r>
      <w:rPr>
        <w:noProof/>
      </w:rPr>
      <w:drawing>
        <wp:inline distT="0" distB="0" distL="0" distR="0" wp14:anchorId="50353BF9" wp14:editId="0F0470C6">
          <wp:extent cx="5760720" cy="839470"/>
          <wp:effectExtent l="0" t="0" r="0" b="0"/>
          <wp:docPr id="1472109556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72109556" name="Imagem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8394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94C77" w14:textId="77777777" w:rsidR="00423D7C" w:rsidRDefault="00423D7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890"/>
    <w:rsid w:val="00090FAB"/>
    <w:rsid w:val="000F70E9"/>
    <w:rsid w:val="00197890"/>
    <w:rsid w:val="002D4A1E"/>
    <w:rsid w:val="00423D7C"/>
    <w:rsid w:val="004902DC"/>
    <w:rsid w:val="004F59D3"/>
    <w:rsid w:val="00513469"/>
    <w:rsid w:val="005227F4"/>
    <w:rsid w:val="00643C5D"/>
    <w:rsid w:val="00673D08"/>
    <w:rsid w:val="006B048A"/>
    <w:rsid w:val="009545C0"/>
    <w:rsid w:val="00AB19B9"/>
    <w:rsid w:val="00C257C7"/>
    <w:rsid w:val="00C27A9F"/>
    <w:rsid w:val="00C74F68"/>
    <w:rsid w:val="00D15F55"/>
    <w:rsid w:val="00D51348"/>
    <w:rsid w:val="00D956B9"/>
    <w:rsid w:val="00F41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8DF27"/>
  <w15:chartTrackingRefBased/>
  <w15:docId w15:val="{6D651F4A-38E4-4330-8A73-367798981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7890"/>
    <w:pPr>
      <w:spacing w:line="240" w:lineRule="auto"/>
      <w:ind w:firstLine="567"/>
      <w:jc w:val="both"/>
    </w:pPr>
    <w:rPr>
      <w:rFonts w:ascii="Calibri" w:eastAsia="Calibri" w:hAnsi="Calibri" w:cs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ubttulo">
    <w:name w:val="Subtitle"/>
    <w:basedOn w:val="Normal"/>
    <w:next w:val="Normal"/>
    <w:link w:val="SubttuloChar"/>
    <w:qFormat/>
    <w:rsid w:val="00197890"/>
    <w:pPr>
      <w:spacing w:after="60"/>
      <w:outlineLvl w:val="1"/>
    </w:pPr>
    <w:rPr>
      <w:rFonts w:eastAsia="Times New Roman"/>
      <w:b/>
    </w:rPr>
  </w:style>
  <w:style w:type="character" w:customStyle="1" w:styleId="SubttuloChar">
    <w:name w:val="Subtítulo Char"/>
    <w:basedOn w:val="Fontepargpadro"/>
    <w:link w:val="Subttulo"/>
    <w:rsid w:val="00197890"/>
    <w:rPr>
      <w:rFonts w:ascii="Calibri" w:eastAsia="Times New Roman" w:hAnsi="Calibri" w:cs="Times New Roman"/>
      <w:b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1978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97890"/>
    <w:rPr>
      <w:rFonts w:ascii="Calibri" w:eastAsia="Calibri" w:hAnsi="Calibri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423D7C"/>
    <w:pPr>
      <w:tabs>
        <w:tab w:val="center" w:pos="4252"/>
        <w:tab w:val="right" w:pos="8504"/>
      </w:tabs>
      <w:spacing w:after="0"/>
    </w:pPr>
  </w:style>
  <w:style w:type="character" w:customStyle="1" w:styleId="RodapChar">
    <w:name w:val="Rodapé Char"/>
    <w:basedOn w:val="Fontepargpadro"/>
    <w:link w:val="Rodap"/>
    <w:uiPriority w:val="99"/>
    <w:rsid w:val="00423D7C"/>
    <w:rPr>
      <w:rFonts w:ascii="Calibri" w:eastAsia="Calibri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175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Juliano Fehlberg</dc:creator>
  <cp:keywords/>
  <dc:description/>
  <cp:lastModifiedBy>Juliano Fehlberg</cp:lastModifiedBy>
  <cp:revision>9</cp:revision>
  <cp:lastPrinted>2025-03-31T19:50:00Z</cp:lastPrinted>
  <dcterms:created xsi:type="dcterms:W3CDTF">2021-03-30T00:05:00Z</dcterms:created>
  <dcterms:modified xsi:type="dcterms:W3CDTF">2026-03-17T20:11:00Z</dcterms:modified>
</cp:coreProperties>
</file>